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F6084" w14:textId="6AC278CC" w:rsidR="00232A41" w:rsidRDefault="00A860C6" w:rsidP="002E6B69">
      <w:pPr>
        <w:spacing w:line="480" w:lineRule="auto"/>
        <w:jc w:val="center"/>
        <w:rPr>
          <w:b/>
        </w:rPr>
      </w:pPr>
      <w:r>
        <w:rPr>
          <w:b/>
        </w:rPr>
        <w:t>Supplement</w:t>
      </w:r>
      <w:r w:rsidR="00232A41">
        <w:rPr>
          <w:b/>
        </w:rPr>
        <w:t xml:space="preserve"> 3</w:t>
      </w:r>
    </w:p>
    <w:p w14:paraId="594E5421" w14:textId="11C2EE5F" w:rsidR="002E6B69" w:rsidRPr="002E6B69" w:rsidRDefault="003A7417" w:rsidP="002E6B69">
      <w:pPr>
        <w:spacing w:line="480" w:lineRule="auto"/>
        <w:jc w:val="center"/>
        <w:rPr>
          <w:b/>
        </w:rPr>
      </w:pPr>
      <w:r>
        <w:rPr>
          <w:b/>
        </w:rPr>
        <w:t xml:space="preserve">Partner </w:t>
      </w:r>
      <w:r w:rsidR="005D3FAA">
        <w:rPr>
          <w:b/>
        </w:rPr>
        <w:t xml:space="preserve">Agreement and Partner </w:t>
      </w:r>
      <w:r>
        <w:rPr>
          <w:b/>
        </w:rPr>
        <w:t>Interactions</w:t>
      </w:r>
    </w:p>
    <w:p w14:paraId="4B2F88AE" w14:textId="38EA8DC7" w:rsidR="005D3FAA" w:rsidRDefault="00867CAD" w:rsidP="00EF1808">
      <w:pPr>
        <w:spacing w:line="480" w:lineRule="auto"/>
      </w:pPr>
      <w:r>
        <w:tab/>
      </w:r>
      <w:r w:rsidR="005D3FAA">
        <w:t xml:space="preserve">We investigated </w:t>
      </w:r>
      <w:r w:rsidR="00CB69DE">
        <w:t>the extent to which</w:t>
      </w:r>
      <w:r w:rsidR="005D3FAA">
        <w:t xml:space="preserve"> the two individuals in the couple </w:t>
      </w:r>
      <w:r w:rsidR="007D2F9D">
        <w:t>engaged in the same post-conflict behavior</w:t>
      </w:r>
      <w:r w:rsidR="00CB69DE">
        <w:t xml:space="preserve">.  </w:t>
      </w:r>
      <w:r w:rsidR="007D2F9D">
        <w:t xml:space="preserve">First, we looked at aggregates of </w:t>
      </w:r>
      <w:r w:rsidR="009C01EF">
        <w:t xml:space="preserve">the PCBC </w:t>
      </w:r>
      <w:r w:rsidR="007D2F9D">
        <w:t xml:space="preserve">post-conflict behavior dimensions across the diary. That is, we investigated whether actors who used avoidance more across the diary period had partners who also used avoidance more across the diary period. As shown in Table </w:t>
      </w:r>
      <w:r w:rsidR="007B2089">
        <w:t xml:space="preserve">1 of this </w:t>
      </w:r>
      <w:r w:rsidR="00505762">
        <w:t>Supplement</w:t>
      </w:r>
      <w:r w:rsidR="007D2F9D">
        <w:t xml:space="preserve">, </w:t>
      </w:r>
      <w:r w:rsidR="00097985">
        <w:t>partner</w:t>
      </w:r>
      <w:r w:rsidR="0091636D">
        <w:t>s’</w:t>
      </w:r>
      <w:r w:rsidR="00097985">
        <w:t xml:space="preserve"> </w:t>
      </w:r>
      <w:r w:rsidR="00EF1808">
        <w:t>scores</w:t>
      </w:r>
      <w:r w:rsidR="00097985">
        <w:t xml:space="preserve"> on </w:t>
      </w:r>
      <w:r w:rsidR="00EF1808">
        <w:t xml:space="preserve">the four PCBC </w:t>
      </w:r>
      <w:r w:rsidR="007D2F9D">
        <w:t>post-conflict behavior dimension</w:t>
      </w:r>
      <w:r w:rsidR="00097985">
        <w:t>s were highly intercorrelated</w:t>
      </w:r>
      <w:r w:rsidR="007D2F9D">
        <w:t xml:space="preserve">. Second, we investigated whether actors who </w:t>
      </w:r>
      <w:r w:rsidR="009C01EF">
        <w:t>adopted</w:t>
      </w:r>
      <w:r w:rsidR="007D2F9D">
        <w:t xml:space="preserve"> a certain post-conflict </w:t>
      </w:r>
      <w:r w:rsidR="009C01EF">
        <w:t>strategy</w:t>
      </w:r>
      <w:r w:rsidR="007D2F9D">
        <w:t xml:space="preserve"> on a given day had partners who also </w:t>
      </w:r>
      <w:r w:rsidR="009C01EF">
        <w:t>adopted that strategy on</w:t>
      </w:r>
      <w:r w:rsidR="007D2F9D">
        <w:t xml:space="preserve"> that day. These correlations were much lower, but still were moderately sized. </w:t>
      </w:r>
      <w:r w:rsidR="00A904B0">
        <w:t>P</w:t>
      </w:r>
      <w:r w:rsidR="007D2F9D">
        <w:t>artners often</w:t>
      </w:r>
      <w:r w:rsidR="00A904B0">
        <w:t xml:space="preserve"> appear to </w:t>
      </w:r>
      <w:r w:rsidR="007D2F9D">
        <w:t>engage in similar post-conflict behaviors.</w:t>
      </w:r>
    </w:p>
    <w:p w14:paraId="67C228F1" w14:textId="36C70E8B" w:rsidR="00324823" w:rsidRDefault="007D2F9D" w:rsidP="007D2F9D">
      <w:pPr>
        <w:spacing w:line="480" w:lineRule="auto"/>
        <w:ind w:firstLine="720"/>
      </w:pPr>
      <w:r>
        <w:t>We next conducted a</w:t>
      </w:r>
      <w:r w:rsidR="00867CAD">
        <w:t xml:space="preserve"> series of APIMs </w:t>
      </w:r>
      <w:r>
        <w:t>to test</w:t>
      </w:r>
      <w:r w:rsidR="00867CAD">
        <w:t xml:space="preserve"> whether associations between </w:t>
      </w:r>
      <w:r w:rsidR="003A7417">
        <w:t xml:space="preserve">one individual’s </w:t>
      </w:r>
      <w:r w:rsidR="00867CAD">
        <w:t>PCBC dimension</w:t>
      </w:r>
      <w:r w:rsidR="00EF1808">
        <w:t xml:space="preserve"> </w:t>
      </w:r>
      <w:r w:rsidR="00867CAD">
        <w:t>s</w:t>
      </w:r>
      <w:r w:rsidR="00EF1808">
        <w:t>cores</w:t>
      </w:r>
      <w:r w:rsidR="00867CAD">
        <w:t xml:space="preserve"> and </w:t>
      </w:r>
      <w:r w:rsidR="003A7417">
        <w:t>his/her</w:t>
      </w:r>
      <w:r w:rsidR="00867CAD">
        <w:t xml:space="preserve"> post-conflict recovery indices were moderated by </w:t>
      </w:r>
      <w:r w:rsidR="003A7417">
        <w:t>the partner’s PCBC dimension</w:t>
      </w:r>
      <w:r w:rsidR="00EF1808">
        <w:t xml:space="preserve"> score</w:t>
      </w:r>
      <w:r w:rsidR="003A7417">
        <w:t>s</w:t>
      </w:r>
      <w:r w:rsidR="00867CAD">
        <w:t xml:space="preserve">. </w:t>
      </w:r>
      <w:r w:rsidR="004F36D9">
        <w:t xml:space="preserve">In a series of </w:t>
      </w:r>
      <w:r w:rsidR="003A7417">
        <w:t>six</w:t>
      </w:r>
      <w:r w:rsidR="00A96C0B">
        <w:t xml:space="preserve"> </w:t>
      </w:r>
      <w:r w:rsidR="004F36D9">
        <w:t>multilevel models, w</w:t>
      </w:r>
      <w:r w:rsidR="00867CAD">
        <w:t>e regressed positive affect, negative affect, depressive symptoms, relationship satisfaction, Intimacy-Self Disclosure (Intimacy-SD), and Intimacy-Understanding and Appreciation (Intimacy-UA) on the following predictors:</w:t>
      </w:r>
    </w:p>
    <w:p w14:paraId="1EA9A3CF" w14:textId="77777777" w:rsidR="00867CAD" w:rsidRDefault="00867CAD" w:rsidP="00867CAD">
      <w:pPr>
        <w:spacing w:line="480" w:lineRule="auto"/>
        <w:ind w:firstLine="720"/>
        <w:outlineLvl w:val="0"/>
        <w:rPr>
          <w:rFonts w:eastAsia="Times New Roman"/>
          <w:color w:val="000000" w:themeColor="text1"/>
        </w:rPr>
      </w:pPr>
      <w:r>
        <w:t xml:space="preserve">1) The intercept, reflecting </w:t>
      </w:r>
      <w:r>
        <w:rPr>
          <w:rFonts w:eastAsia="Times New Roman"/>
          <w:color w:val="000000" w:themeColor="text1"/>
        </w:rPr>
        <w:t>the value of the dependent variable on days when the couple had no conflict;</w:t>
      </w:r>
    </w:p>
    <w:p w14:paraId="6CFDF225" w14:textId="7BB05500" w:rsidR="00867CAD" w:rsidRDefault="00867CAD" w:rsidP="00867CAD">
      <w:pPr>
        <w:spacing w:line="480" w:lineRule="auto"/>
        <w:outlineLvl w:val="0"/>
        <w:rPr>
          <w:rFonts w:eastAsia="Times New Roman"/>
          <w:color w:val="000000" w:themeColor="text1"/>
        </w:rPr>
      </w:pPr>
      <w:r>
        <w:rPr>
          <w:rFonts w:eastAsia="Times New Roman"/>
          <w:color w:val="000000" w:themeColor="text1"/>
        </w:rPr>
        <w:tab/>
        <w:t xml:space="preserve">2) control variables equal to </w:t>
      </w:r>
      <w:r w:rsidR="00A3719B">
        <w:rPr>
          <w:rFonts w:eastAsia="Times New Roman"/>
          <w:color w:val="000000" w:themeColor="text1"/>
        </w:rPr>
        <w:t xml:space="preserve">(a) </w:t>
      </w:r>
      <w:r>
        <w:rPr>
          <w:rFonts w:eastAsia="Times New Roman"/>
          <w:color w:val="000000" w:themeColor="text1"/>
        </w:rPr>
        <w:t>actors’ and partners’ respective previous</w:t>
      </w:r>
      <w:r w:rsidR="00A3719B">
        <w:rPr>
          <w:rFonts w:eastAsia="Times New Roman"/>
          <w:color w:val="000000" w:themeColor="text1"/>
        </w:rPr>
        <w:t>-day dependent variable scores, (b) global demand/withdraw communication, (c) global constructive communication, (d) and observed conflict management;</w:t>
      </w:r>
    </w:p>
    <w:p w14:paraId="4D4F1B2C" w14:textId="57A5F290" w:rsidR="00867CAD" w:rsidRDefault="00867CAD" w:rsidP="00867CAD">
      <w:pPr>
        <w:spacing w:line="480" w:lineRule="auto"/>
        <w:outlineLvl w:val="0"/>
        <w:rPr>
          <w:rFonts w:eastAsia="Times New Roman"/>
          <w:color w:val="000000" w:themeColor="text1"/>
        </w:rPr>
      </w:pPr>
      <w:r>
        <w:rPr>
          <w:rFonts w:eastAsia="Times New Roman"/>
          <w:color w:val="000000" w:themeColor="text1"/>
        </w:rPr>
        <w:lastRenderedPageBreak/>
        <w:tab/>
        <w:t>3) the main effects for each of the four PCBC dimensions, actor’s report, including between- and within-participant effects;</w:t>
      </w:r>
    </w:p>
    <w:p w14:paraId="6ED2488A" w14:textId="1457638B" w:rsidR="00867CAD" w:rsidRPr="00AD77AF" w:rsidRDefault="003A7417" w:rsidP="00867CAD">
      <w:pPr>
        <w:spacing w:line="480" w:lineRule="auto"/>
        <w:outlineLvl w:val="0"/>
        <w:rPr>
          <w:rFonts w:eastAsia="Times New Roman"/>
          <w:color w:val="000000" w:themeColor="text1"/>
        </w:rPr>
      </w:pPr>
      <w:r>
        <w:rPr>
          <w:rFonts w:eastAsia="Times New Roman"/>
          <w:color w:val="000000" w:themeColor="text1"/>
        </w:rPr>
        <w:tab/>
        <w:t>4</w:t>
      </w:r>
      <w:r w:rsidR="00867CAD">
        <w:rPr>
          <w:rFonts w:eastAsia="Times New Roman"/>
          <w:color w:val="000000" w:themeColor="text1"/>
        </w:rPr>
        <w:t>) the main effects for each of the four PCBC dimensions, partner’s report, separated into between- and within-partner effects;</w:t>
      </w:r>
    </w:p>
    <w:p w14:paraId="1435C302" w14:textId="0FFDB780" w:rsidR="00867CAD" w:rsidRDefault="003A7417" w:rsidP="00867CAD">
      <w:pPr>
        <w:spacing w:line="480" w:lineRule="auto"/>
        <w:outlineLvl w:val="0"/>
        <w:rPr>
          <w:rFonts w:eastAsia="Times New Roman"/>
          <w:color w:val="000000" w:themeColor="text1"/>
        </w:rPr>
      </w:pPr>
      <w:r>
        <w:rPr>
          <w:rFonts w:eastAsia="Times New Roman"/>
          <w:color w:val="000000" w:themeColor="text1"/>
        </w:rPr>
        <w:tab/>
        <w:t>5</w:t>
      </w:r>
      <w:r w:rsidR="00867CAD">
        <w:rPr>
          <w:rFonts w:eastAsia="Times New Roman"/>
          <w:color w:val="000000" w:themeColor="text1"/>
        </w:rPr>
        <w:t xml:space="preserve">) the interaction between each actor-reported PCBC dimension </w:t>
      </w:r>
      <w:r w:rsidR="00A904B0">
        <w:rPr>
          <w:rFonts w:eastAsia="Times New Roman"/>
          <w:color w:val="000000" w:themeColor="text1"/>
        </w:rPr>
        <w:t>and</w:t>
      </w:r>
      <w:r w:rsidR="00867CAD">
        <w:rPr>
          <w:rFonts w:eastAsia="Times New Roman"/>
          <w:color w:val="000000" w:themeColor="text1"/>
        </w:rPr>
        <w:t xml:space="preserve"> </w:t>
      </w:r>
      <w:r w:rsidR="005F393C">
        <w:rPr>
          <w:rFonts w:eastAsia="Times New Roman"/>
          <w:color w:val="000000" w:themeColor="text1"/>
        </w:rPr>
        <w:t xml:space="preserve">the respective </w:t>
      </w:r>
      <w:r>
        <w:rPr>
          <w:rFonts w:eastAsia="Times New Roman"/>
          <w:color w:val="000000" w:themeColor="text1"/>
        </w:rPr>
        <w:t>partner-reported PCBC dimension;</w:t>
      </w:r>
    </w:p>
    <w:p w14:paraId="688D7C7A" w14:textId="6AA2D762" w:rsidR="00867CAD" w:rsidRPr="00713200" w:rsidRDefault="003A7417" w:rsidP="00867CAD">
      <w:pPr>
        <w:autoSpaceDE w:val="0"/>
        <w:autoSpaceDN w:val="0"/>
        <w:adjustRightInd w:val="0"/>
        <w:spacing w:line="480" w:lineRule="auto"/>
        <w:ind w:firstLine="720"/>
        <w:rPr>
          <w:iCs/>
        </w:rPr>
      </w:pPr>
      <w:r>
        <w:rPr>
          <w:rFonts w:eastAsia="Times New Roman"/>
          <w:color w:val="000000" w:themeColor="text1"/>
        </w:rPr>
        <w:t>6</w:t>
      </w:r>
      <w:r w:rsidR="00867CAD" w:rsidRPr="00713200">
        <w:rPr>
          <w:rFonts w:eastAsia="Times New Roman"/>
          <w:color w:val="000000" w:themeColor="text1"/>
        </w:rPr>
        <w:t xml:space="preserve">) </w:t>
      </w:r>
      <w:r w:rsidR="00867CAD">
        <w:rPr>
          <w:iCs/>
        </w:rPr>
        <w:t xml:space="preserve">a </w:t>
      </w:r>
      <w:r w:rsidR="00867CAD" w:rsidRPr="00713200">
        <w:rPr>
          <w:iCs/>
        </w:rPr>
        <w:t xml:space="preserve">repeated effect for </w:t>
      </w:r>
      <w:r w:rsidR="00867CAD">
        <w:rPr>
          <w:iCs/>
        </w:rPr>
        <w:t>the</w:t>
      </w:r>
      <w:r w:rsidR="00867CAD" w:rsidRPr="00713200">
        <w:rPr>
          <w:iCs/>
        </w:rPr>
        <w:t xml:space="preserve"> </w:t>
      </w:r>
      <w:r w:rsidR="00867CAD" w:rsidRPr="00713200">
        <w:t xml:space="preserve">non-independence of </w:t>
      </w:r>
      <w:r w:rsidR="00867CAD">
        <w:t xml:space="preserve">individual </w:t>
      </w:r>
      <w:r w:rsidR="00867CAD" w:rsidRPr="00713200">
        <w:t>ratings across diary days</w:t>
      </w:r>
      <w:r w:rsidR="00867CAD" w:rsidRPr="00713200">
        <w:rPr>
          <w:iCs/>
        </w:rPr>
        <w:t>;</w:t>
      </w:r>
    </w:p>
    <w:p w14:paraId="16ED30DC" w14:textId="671E484E" w:rsidR="00867CAD" w:rsidRDefault="003A7417" w:rsidP="00867CAD">
      <w:pPr>
        <w:spacing w:line="480" w:lineRule="auto"/>
        <w:ind w:firstLine="720"/>
        <w:outlineLvl w:val="0"/>
        <w:rPr>
          <w:iCs/>
        </w:rPr>
      </w:pPr>
      <w:r>
        <w:rPr>
          <w:iCs/>
        </w:rPr>
        <w:t>7</w:t>
      </w:r>
      <w:r w:rsidR="00867CAD" w:rsidRPr="00713200">
        <w:rPr>
          <w:iCs/>
        </w:rPr>
        <w:t>) a random effect accounting for non-independence between couple partners’ scores.</w:t>
      </w:r>
    </w:p>
    <w:p w14:paraId="795795F6" w14:textId="0AA08C21" w:rsidR="003A7417" w:rsidRDefault="007608BD" w:rsidP="00D638C5">
      <w:pPr>
        <w:spacing w:line="480" w:lineRule="auto"/>
        <w:ind w:firstLine="720"/>
        <w:outlineLvl w:val="0"/>
        <w:rPr>
          <w:iCs/>
        </w:rPr>
      </w:pPr>
      <w:r>
        <w:rPr>
          <w:iCs/>
        </w:rPr>
        <w:t>We</w:t>
      </w:r>
      <w:r w:rsidR="00B36986">
        <w:rPr>
          <w:iCs/>
        </w:rPr>
        <w:t xml:space="preserve"> found </w:t>
      </w:r>
      <w:r w:rsidR="003A7417">
        <w:rPr>
          <w:iCs/>
        </w:rPr>
        <w:t>two</w:t>
      </w:r>
      <w:r w:rsidR="00B36986">
        <w:rPr>
          <w:iCs/>
        </w:rPr>
        <w:t xml:space="preserve"> interactions between </w:t>
      </w:r>
      <w:r w:rsidR="003A7417">
        <w:rPr>
          <w:iCs/>
        </w:rPr>
        <w:t xml:space="preserve">the actor’s </w:t>
      </w:r>
      <w:r w:rsidR="00B36986">
        <w:rPr>
          <w:iCs/>
        </w:rPr>
        <w:t xml:space="preserve">post-conflict </w:t>
      </w:r>
      <w:r w:rsidR="00C9742D">
        <w:rPr>
          <w:iCs/>
        </w:rPr>
        <w:t>behavior (PCBC) score</w:t>
      </w:r>
      <w:r w:rsidR="00B36986">
        <w:rPr>
          <w:iCs/>
        </w:rPr>
        <w:t xml:space="preserve">s and </w:t>
      </w:r>
      <w:r w:rsidR="003A7417">
        <w:rPr>
          <w:iCs/>
        </w:rPr>
        <w:t xml:space="preserve">his/her partner’s </w:t>
      </w:r>
      <w:r w:rsidR="00C9742D">
        <w:rPr>
          <w:iCs/>
        </w:rPr>
        <w:t>PCBC scores</w:t>
      </w:r>
      <w:r w:rsidR="00B36986">
        <w:rPr>
          <w:iCs/>
        </w:rPr>
        <w:t xml:space="preserve">. </w:t>
      </w:r>
      <w:r w:rsidR="00135022">
        <w:rPr>
          <w:iCs/>
        </w:rPr>
        <w:t xml:space="preserve">First, the </w:t>
      </w:r>
      <w:r w:rsidR="003A7417">
        <w:rPr>
          <w:iCs/>
        </w:rPr>
        <w:t>actor’s</w:t>
      </w:r>
      <w:r w:rsidR="00135022">
        <w:rPr>
          <w:iCs/>
        </w:rPr>
        <w:t xml:space="preserve"> daily use of </w:t>
      </w:r>
      <w:r w:rsidR="003A7417">
        <w:rPr>
          <w:iCs/>
        </w:rPr>
        <w:t>Active Repair</w:t>
      </w:r>
      <w:r w:rsidR="00135022">
        <w:rPr>
          <w:iCs/>
        </w:rPr>
        <w:t xml:space="preserve"> interacted with </w:t>
      </w:r>
      <w:r w:rsidR="003A7417">
        <w:rPr>
          <w:iCs/>
        </w:rPr>
        <w:t>the partner’s</w:t>
      </w:r>
      <w:r w:rsidR="00C9742D">
        <w:rPr>
          <w:iCs/>
        </w:rPr>
        <w:t xml:space="preserve"> daily</w:t>
      </w:r>
      <w:r w:rsidR="003A7417">
        <w:rPr>
          <w:iCs/>
        </w:rPr>
        <w:t xml:space="preserve"> use of Active Repair to</w:t>
      </w:r>
      <w:r w:rsidR="00135022">
        <w:rPr>
          <w:iCs/>
        </w:rPr>
        <w:t xml:space="preserve"> predict </w:t>
      </w:r>
      <w:r w:rsidR="003A7417">
        <w:rPr>
          <w:iCs/>
        </w:rPr>
        <w:t>relationship satisfaction</w:t>
      </w:r>
      <w:r w:rsidR="00135022">
        <w:rPr>
          <w:iCs/>
        </w:rPr>
        <w:t xml:space="preserve"> (</w:t>
      </w:r>
      <w:r w:rsidR="00135022">
        <w:rPr>
          <w:i/>
          <w:iCs/>
        </w:rPr>
        <w:t xml:space="preserve">b </w:t>
      </w:r>
      <w:r w:rsidR="003A7417">
        <w:rPr>
          <w:iCs/>
        </w:rPr>
        <w:t>= -2.42</w:t>
      </w:r>
      <w:r w:rsidR="00135022">
        <w:rPr>
          <w:iCs/>
        </w:rPr>
        <w:t xml:space="preserve">, </w:t>
      </w:r>
      <w:r w:rsidR="00135022">
        <w:rPr>
          <w:i/>
          <w:iCs/>
        </w:rPr>
        <w:t xml:space="preserve">SE </w:t>
      </w:r>
      <w:r w:rsidR="003A7417">
        <w:rPr>
          <w:iCs/>
        </w:rPr>
        <w:t>= .99</w:t>
      </w:r>
      <w:r w:rsidR="00135022">
        <w:rPr>
          <w:iCs/>
        </w:rPr>
        <w:t xml:space="preserve">, </w:t>
      </w:r>
      <w:r w:rsidR="00135022">
        <w:rPr>
          <w:i/>
          <w:iCs/>
        </w:rPr>
        <w:t xml:space="preserve">p </w:t>
      </w:r>
      <w:r w:rsidR="003A7417">
        <w:rPr>
          <w:iCs/>
        </w:rPr>
        <w:t>= .015</w:t>
      </w:r>
      <w:r w:rsidR="00324823">
        <w:rPr>
          <w:iCs/>
        </w:rPr>
        <w:t>; see Figure 1</w:t>
      </w:r>
      <w:r w:rsidR="00135022">
        <w:rPr>
          <w:iCs/>
        </w:rPr>
        <w:t>).</w:t>
      </w:r>
      <w:r w:rsidR="00F276FB">
        <w:rPr>
          <w:iCs/>
        </w:rPr>
        <w:t xml:space="preserve"> Actors who </w:t>
      </w:r>
      <w:r w:rsidR="003A7417">
        <w:rPr>
          <w:iCs/>
        </w:rPr>
        <w:t>used Active Repair strategies on a given day reported similar levels of relationship satisfaction, regardless of whether their partner a</w:t>
      </w:r>
      <w:r w:rsidR="00BD0977">
        <w:rPr>
          <w:iCs/>
        </w:rPr>
        <w:t>lso used these strategies</w:t>
      </w:r>
      <w:r w:rsidR="003A7417">
        <w:rPr>
          <w:iCs/>
        </w:rPr>
        <w:t xml:space="preserve">. However, actors who did not use </w:t>
      </w:r>
      <w:r w:rsidR="00393EC2">
        <w:rPr>
          <w:iCs/>
        </w:rPr>
        <w:t xml:space="preserve">Active Repair </w:t>
      </w:r>
      <w:r w:rsidR="003A7417">
        <w:rPr>
          <w:iCs/>
        </w:rPr>
        <w:t xml:space="preserve">strategies on a given day reported more satisfaction if their partner </w:t>
      </w:r>
      <w:r w:rsidR="00C9742D">
        <w:rPr>
          <w:iCs/>
        </w:rPr>
        <w:t>did use</w:t>
      </w:r>
      <w:r w:rsidR="003A7417">
        <w:rPr>
          <w:iCs/>
        </w:rPr>
        <w:t xml:space="preserve"> </w:t>
      </w:r>
      <w:r w:rsidR="00393EC2">
        <w:rPr>
          <w:iCs/>
        </w:rPr>
        <w:t xml:space="preserve">Active Repair </w:t>
      </w:r>
      <w:r w:rsidR="003A7417">
        <w:rPr>
          <w:iCs/>
        </w:rPr>
        <w:t>strategies</w:t>
      </w:r>
      <w:r w:rsidR="00DE2E2F">
        <w:rPr>
          <w:iCs/>
        </w:rPr>
        <w:t xml:space="preserve"> that day</w:t>
      </w:r>
      <w:r w:rsidR="00393EC2">
        <w:rPr>
          <w:iCs/>
        </w:rPr>
        <w:t>.</w:t>
      </w:r>
    </w:p>
    <w:p w14:paraId="7ECD5B60" w14:textId="57A90D6D" w:rsidR="003A7417" w:rsidRDefault="003A7417" w:rsidP="00135022">
      <w:pPr>
        <w:spacing w:line="480" w:lineRule="auto"/>
        <w:ind w:firstLine="720"/>
        <w:outlineLvl w:val="0"/>
        <w:rPr>
          <w:iCs/>
        </w:rPr>
      </w:pPr>
      <w:r>
        <w:rPr>
          <w:iCs/>
        </w:rPr>
        <w:t xml:space="preserve">Second, the actor’s daily use of Avoidance </w:t>
      </w:r>
      <w:r w:rsidR="00443197">
        <w:rPr>
          <w:iCs/>
        </w:rPr>
        <w:t xml:space="preserve">strategies </w:t>
      </w:r>
      <w:r>
        <w:rPr>
          <w:iCs/>
        </w:rPr>
        <w:t>interacted with the partner’s Avoidance to predict depressive symptoms (</w:t>
      </w:r>
      <w:r>
        <w:rPr>
          <w:i/>
          <w:iCs/>
        </w:rPr>
        <w:t xml:space="preserve">b </w:t>
      </w:r>
      <w:r>
        <w:rPr>
          <w:iCs/>
        </w:rPr>
        <w:t xml:space="preserve">= 1.51, </w:t>
      </w:r>
      <w:r>
        <w:rPr>
          <w:i/>
          <w:iCs/>
        </w:rPr>
        <w:t xml:space="preserve">SD </w:t>
      </w:r>
      <w:r>
        <w:rPr>
          <w:iCs/>
        </w:rPr>
        <w:t xml:space="preserve">= 6.44, </w:t>
      </w:r>
      <w:r>
        <w:rPr>
          <w:i/>
          <w:iCs/>
        </w:rPr>
        <w:t xml:space="preserve">p </w:t>
      </w:r>
      <w:r>
        <w:rPr>
          <w:iCs/>
        </w:rPr>
        <w:t>= .020; see Figure 2). Actors who did not use Avoidance strategies on a given day reported similarly low levels of depressive symptoms, regardless of the partner’s Avoidance that day. However, actors who did engage in Avoidance on a given day reported more depressive symptoms if their partner also reported engaging in Avoidance that day.</w:t>
      </w:r>
      <w:r w:rsidR="009A6480">
        <w:rPr>
          <w:iCs/>
        </w:rPr>
        <w:t xml:space="preserve">  No other actor by partner interactions were significant.</w:t>
      </w:r>
    </w:p>
    <w:p w14:paraId="49CE7FCB" w14:textId="77777777" w:rsidR="00472366" w:rsidRDefault="00472366" w:rsidP="007D2F9D">
      <w:pPr>
        <w:spacing w:line="480" w:lineRule="auto"/>
        <w:outlineLvl w:val="0"/>
        <w:rPr>
          <w:iCs/>
        </w:rPr>
      </w:pPr>
    </w:p>
    <w:p w14:paraId="12097A32" w14:textId="77777777" w:rsidR="00472366" w:rsidRDefault="00472366" w:rsidP="007D2F9D">
      <w:pPr>
        <w:spacing w:line="480" w:lineRule="auto"/>
        <w:outlineLvl w:val="0"/>
        <w:rPr>
          <w:iCs/>
        </w:rPr>
      </w:pPr>
    </w:p>
    <w:p w14:paraId="5C625B5C" w14:textId="6DB28330" w:rsidR="007D2F9D" w:rsidRPr="007D2F9D" w:rsidRDefault="007D2F9D" w:rsidP="00C0267C">
      <w:pPr>
        <w:spacing w:line="480" w:lineRule="auto"/>
        <w:outlineLvl w:val="0"/>
        <w:rPr>
          <w:i/>
          <w:iCs/>
        </w:rPr>
      </w:pPr>
      <w:r>
        <w:rPr>
          <w:iCs/>
        </w:rPr>
        <w:lastRenderedPageBreak/>
        <w:t xml:space="preserve">Table 1. </w:t>
      </w:r>
      <w:r>
        <w:rPr>
          <w:i/>
          <w:iCs/>
        </w:rPr>
        <w:t xml:space="preserve">Inter-partner correlations </w:t>
      </w:r>
      <w:r w:rsidR="002C391A">
        <w:rPr>
          <w:i/>
          <w:iCs/>
        </w:rPr>
        <w:t>for P</w:t>
      </w:r>
      <w:r w:rsidR="00C0267C">
        <w:rPr>
          <w:i/>
          <w:iCs/>
        </w:rPr>
        <w:t>C</w:t>
      </w:r>
      <w:bookmarkStart w:id="0" w:name="_GoBack"/>
      <w:bookmarkEnd w:id="0"/>
      <w:r w:rsidR="002C391A">
        <w:rPr>
          <w:i/>
          <w:iCs/>
        </w:rPr>
        <w:t>PB</w:t>
      </w:r>
      <w:r>
        <w:rPr>
          <w:i/>
          <w:iCs/>
        </w:rPr>
        <w:t xml:space="preserve"> post-conflict behavior </w:t>
      </w:r>
      <w:r w:rsidR="00097985">
        <w:rPr>
          <w:i/>
          <w:iCs/>
        </w:rPr>
        <w:t>scores</w:t>
      </w:r>
      <w:r>
        <w:rPr>
          <w:i/>
          <w:iCs/>
        </w:rPr>
        <w: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0"/>
        <w:gridCol w:w="2369"/>
        <w:gridCol w:w="1903"/>
      </w:tblGrid>
      <w:tr w:rsidR="007D2F9D" w14:paraId="50C881DA" w14:textId="77777777" w:rsidTr="007D2F9D">
        <w:tc>
          <w:tcPr>
            <w:tcW w:w="0" w:type="auto"/>
            <w:tcBorders>
              <w:top w:val="single" w:sz="4" w:space="0" w:color="auto"/>
              <w:bottom w:val="single" w:sz="4" w:space="0" w:color="auto"/>
            </w:tcBorders>
          </w:tcPr>
          <w:p w14:paraId="770EC24F" w14:textId="371C2916" w:rsidR="007D2F9D" w:rsidRDefault="007D2F9D" w:rsidP="007D2F9D">
            <w:pPr>
              <w:spacing w:line="480" w:lineRule="auto"/>
              <w:outlineLvl w:val="0"/>
              <w:rPr>
                <w:iCs/>
              </w:rPr>
            </w:pPr>
            <w:r>
              <w:rPr>
                <w:iCs/>
              </w:rPr>
              <w:t>Post-Conflict Behavior Dimension</w:t>
            </w:r>
          </w:p>
        </w:tc>
        <w:tc>
          <w:tcPr>
            <w:tcW w:w="0" w:type="auto"/>
            <w:tcBorders>
              <w:top w:val="single" w:sz="4" w:space="0" w:color="auto"/>
              <w:bottom w:val="single" w:sz="4" w:space="0" w:color="auto"/>
            </w:tcBorders>
          </w:tcPr>
          <w:p w14:paraId="0C4137BB" w14:textId="6836DC78" w:rsidR="007D2F9D" w:rsidRDefault="007D2F9D" w:rsidP="007D2F9D">
            <w:pPr>
              <w:spacing w:line="480" w:lineRule="auto"/>
              <w:outlineLvl w:val="0"/>
              <w:rPr>
                <w:iCs/>
              </w:rPr>
            </w:pPr>
            <w:r>
              <w:rPr>
                <w:iCs/>
              </w:rPr>
              <w:t>Aggregate Correlation</w:t>
            </w:r>
          </w:p>
        </w:tc>
        <w:tc>
          <w:tcPr>
            <w:tcW w:w="0" w:type="auto"/>
            <w:tcBorders>
              <w:top w:val="single" w:sz="4" w:space="0" w:color="auto"/>
              <w:bottom w:val="single" w:sz="4" w:space="0" w:color="auto"/>
            </w:tcBorders>
          </w:tcPr>
          <w:p w14:paraId="3D03AB1E" w14:textId="05BA53F5" w:rsidR="007D2F9D" w:rsidRDefault="007D2F9D" w:rsidP="007D2F9D">
            <w:pPr>
              <w:spacing w:line="480" w:lineRule="auto"/>
              <w:outlineLvl w:val="0"/>
              <w:rPr>
                <w:iCs/>
              </w:rPr>
            </w:pPr>
            <w:r>
              <w:rPr>
                <w:iCs/>
              </w:rPr>
              <w:t>Daily Correlation</w:t>
            </w:r>
          </w:p>
        </w:tc>
      </w:tr>
      <w:tr w:rsidR="007D2F9D" w14:paraId="491CADE3" w14:textId="77777777" w:rsidTr="007D2F9D">
        <w:tc>
          <w:tcPr>
            <w:tcW w:w="0" w:type="auto"/>
            <w:tcBorders>
              <w:top w:val="single" w:sz="4" w:space="0" w:color="auto"/>
            </w:tcBorders>
          </w:tcPr>
          <w:p w14:paraId="372A6DE0" w14:textId="50636102" w:rsidR="007D2F9D" w:rsidRDefault="007D2F9D" w:rsidP="007D2F9D">
            <w:pPr>
              <w:spacing w:line="480" w:lineRule="auto"/>
              <w:outlineLvl w:val="0"/>
              <w:rPr>
                <w:iCs/>
              </w:rPr>
            </w:pPr>
            <w:r>
              <w:rPr>
                <w:iCs/>
              </w:rPr>
              <w:t>Avoidance</w:t>
            </w:r>
          </w:p>
        </w:tc>
        <w:tc>
          <w:tcPr>
            <w:tcW w:w="0" w:type="auto"/>
            <w:tcBorders>
              <w:top w:val="single" w:sz="4" w:space="0" w:color="auto"/>
            </w:tcBorders>
          </w:tcPr>
          <w:p w14:paraId="71C5F081" w14:textId="1C5BFA7E" w:rsidR="007D2F9D" w:rsidRDefault="007D2F9D" w:rsidP="007D2F9D">
            <w:pPr>
              <w:spacing w:line="480" w:lineRule="auto"/>
              <w:outlineLvl w:val="0"/>
              <w:rPr>
                <w:iCs/>
              </w:rPr>
            </w:pPr>
            <w:r>
              <w:rPr>
                <w:iCs/>
              </w:rPr>
              <w:t>.66*</w:t>
            </w:r>
          </w:p>
        </w:tc>
        <w:tc>
          <w:tcPr>
            <w:tcW w:w="0" w:type="auto"/>
            <w:tcBorders>
              <w:top w:val="single" w:sz="4" w:space="0" w:color="auto"/>
            </w:tcBorders>
          </w:tcPr>
          <w:p w14:paraId="51A885AA" w14:textId="00316DE2" w:rsidR="007D2F9D" w:rsidRDefault="007D2F9D" w:rsidP="007D2F9D">
            <w:pPr>
              <w:spacing w:line="480" w:lineRule="auto"/>
              <w:outlineLvl w:val="0"/>
              <w:rPr>
                <w:iCs/>
              </w:rPr>
            </w:pPr>
            <w:r>
              <w:rPr>
                <w:iCs/>
              </w:rPr>
              <w:t>.38</w:t>
            </w:r>
          </w:p>
        </w:tc>
      </w:tr>
      <w:tr w:rsidR="007D2F9D" w14:paraId="447B703C" w14:textId="77777777" w:rsidTr="007D2F9D">
        <w:tc>
          <w:tcPr>
            <w:tcW w:w="0" w:type="auto"/>
          </w:tcPr>
          <w:p w14:paraId="6C47C337" w14:textId="0F8D5E53" w:rsidR="007D2F9D" w:rsidRDefault="007D2F9D" w:rsidP="007D2F9D">
            <w:pPr>
              <w:spacing w:line="480" w:lineRule="auto"/>
              <w:outlineLvl w:val="0"/>
              <w:rPr>
                <w:iCs/>
              </w:rPr>
            </w:pPr>
            <w:r>
              <w:rPr>
                <w:iCs/>
              </w:rPr>
              <w:t>Active Repair</w:t>
            </w:r>
          </w:p>
        </w:tc>
        <w:tc>
          <w:tcPr>
            <w:tcW w:w="0" w:type="auto"/>
          </w:tcPr>
          <w:p w14:paraId="18190873" w14:textId="215D88F6" w:rsidR="007D2F9D" w:rsidRDefault="007D2F9D" w:rsidP="007D2F9D">
            <w:pPr>
              <w:spacing w:line="480" w:lineRule="auto"/>
              <w:outlineLvl w:val="0"/>
              <w:rPr>
                <w:iCs/>
              </w:rPr>
            </w:pPr>
            <w:r>
              <w:rPr>
                <w:iCs/>
              </w:rPr>
              <w:t>.69*</w:t>
            </w:r>
          </w:p>
        </w:tc>
        <w:tc>
          <w:tcPr>
            <w:tcW w:w="0" w:type="auto"/>
          </w:tcPr>
          <w:p w14:paraId="1365D3CF" w14:textId="28272133" w:rsidR="007D2F9D" w:rsidRDefault="007D2F9D" w:rsidP="007D2F9D">
            <w:pPr>
              <w:spacing w:line="480" w:lineRule="auto"/>
              <w:outlineLvl w:val="0"/>
              <w:rPr>
                <w:iCs/>
              </w:rPr>
            </w:pPr>
            <w:r>
              <w:rPr>
                <w:iCs/>
              </w:rPr>
              <w:t>.26</w:t>
            </w:r>
          </w:p>
        </w:tc>
      </w:tr>
      <w:tr w:rsidR="007D2F9D" w14:paraId="6985F27B" w14:textId="77777777" w:rsidTr="007D2F9D">
        <w:tc>
          <w:tcPr>
            <w:tcW w:w="0" w:type="auto"/>
          </w:tcPr>
          <w:p w14:paraId="4E8D84F0" w14:textId="3D684C67" w:rsidR="007D2F9D" w:rsidRDefault="007D2F9D" w:rsidP="007D2F9D">
            <w:pPr>
              <w:spacing w:line="480" w:lineRule="auto"/>
              <w:outlineLvl w:val="0"/>
              <w:rPr>
                <w:iCs/>
              </w:rPr>
            </w:pPr>
            <w:r>
              <w:rPr>
                <w:iCs/>
              </w:rPr>
              <w:t>Let Go</w:t>
            </w:r>
          </w:p>
        </w:tc>
        <w:tc>
          <w:tcPr>
            <w:tcW w:w="0" w:type="auto"/>
          </w:tcPr>
          <w:p w14:paraId="2631CE8B" w14:textId="5438C800" w:rsidR="007D2F9D" w:rsidRDefault="007D2F9D" w:rsidP="007D2F9D">
            <w:pPr>
              <w:spacing w:line="480" w:lineRule="auto"/>
              <w:outlineLvl w:val="0"/>
              <w:rPr>
                <w:iCs/>
              </w:rPr>
            </w:pPr>
            <w:r>
              <w:rPr>
                <w:iCs/>
              </w:rPr>
              <w:t>.58*</w:t>
            </w:r>
          </w:p>
        </w:tc>
        <w:tc>
          <w:tcPr>
            <w:tcW w:w="0" w:type="auto"/>
          </w:tcPr>
          <w:p w14:paraId="5FCD7ECA" w14:textId="3D79CEAF" w:rsidR="007D2F9D" w:rsidRDefault="007D2F9D" w:rsidP="007D2F9D">
            <w:pPr>
              <w:spacing w:line="480" w:lineRule="auto"/>
              <w:outlineLvl w:val="0"/>
              <w:rPr>
                <w:iCs/>
              </w:rPr>
            </w:pPr>
            <w:r>
              <w:rPr>
                <w:iCs/>
              </w:rPr>
              <w:t>.13</w:t>
            </w:r>
          </w:p>
        </w:tc>
      </w:tr>
      <w:tr w:rsidR="007D2F9D" w14:paraId="56B3499E" w14:textId="77777777" w:rsidTr="007D2F9D">
        <w:tc>
          <w:tcPr>
            <w:tcW w:w="0" w:type="auto"/>
          </w:tcPr>
          <w:p w14:paraId="52B4567D" w14:textId="6547D260" w:rsidR="007D2F9D" w:rsidRDefault="007D2F9D" w:rsidP="007D2F9D">
            <w:pPr>
              <w:spacing w:line="480" w:lineRule="auto"/>
              <w:outlineLvl w:val="0"/>
              <w:rPr>
                <w:iCs/>
              </w:rPr>
            </w:pPr>
            <w:r>
              <w:rPr>
                <w:iCs/>
              </w:rPr>
              <w:t>Gain Perspective</w:t>
            </w:r>
          </w:p>
        </w:tc>
        <w:tc>
          <w:tcPr>
            <w:tcW w:w="0" w:type="auto"/>
          </w:tcPr>
          <w:p w14:paraId="6B66D246" w14:textId="461950AD" w:rsidR="007D2F9D" w:rsidRDefault="007D2F9D" w:rsidP="007D2F9D">
            <w:pPr>
              <w:spacing w:line="480" w:lineRule="auto"/>
              <w:outlineLvl w:val="0"/>
              <w:rPr>
                <w:iCs/>
              </w:rPr>
            </w:pPr>
            <w:r>
              <w:rPr>
                <w:iCs/>
              </w:rPr>
              <w:t>.62*</w:t>
            </w:r>
          </w:p>
        </w:tc>
        <w:tc>
          <w:tcPr>
            <w:tcW w:w="0" w:type="auto"/>
          </w:tcPr>
          <w:p w14:paraId="629DB19A" w14:textId="04FAE4C6" w:rsidR="007D2F9D" w:rsidRDefault="007D2F9D" w:rsidP="007D2F9D">
            <w:pPr>
              <w:spacing w:line="480" w:lineRule="auto"/>
              <w:outlineLvl w:val="0"/>
              <w:rPr>
                <w:iCs/>
              </w:rPr>
            </w:pPr>
            <w:r>
              <w:rPr>
                <w:iCs/>
              </w:rPr>
              <w:t>.21</w:t>
            </w:r>
          </w:p>
        </w:tc>
      </w:tr>
    </w:tbl>
    <w:p w14:paraId="66BDE89B" w14:textId="56599797" w:rsidR="007D2F9D" w:rsidRPr="007D2F9D" w:rsidRDefault="007D2F9D" w:rsidP="007D2F9D">
      <w:pPr>
        <w:spacing w:line="480" w:lineRule="auto"/>
        <w:outlineLvl w:val="0"/>
        <w:rPr>
          <w:i/>
          <w:iCs/>
        </w:rPr>
      </w:pPr>
      <w:r>
        <w:rPr>
          <w:i/>
          <w:iCs/>
        </w:rPr>
        <w:t xml:space="preserve">Note. </w:t>
      </w:r>
      <w:r>
        <w:rPr>
          <w:iCs/>
        </w:rPr>
        <w:t xml:space="preserve">* </w:t>
      </w:r>
      <w:r>
        <w:rPr>
          <w:i/>
          <w:iCs/>
        </w:rPr>
        <w:t xml:space="preserve">p </w:t>
      </w:r>
      <w:r w:rsidRPr="007D2F9D">
        <w:rPr>
          <w:iCs/>
        </w:rPr>
        <w:t>&lt; .01.</w:t>
      </w:r>
    </w:p>
    <w:p w14:paraId="5A360335" w14:textId="77777777" w:rsidR="003A7417" w:rsidRDefault="003A7417" w:rsidP="00135022">
      <w:pPr>
        <w:spacing w:line="480" w:lineRule="auto"/>
        <w:ind w:firstLine="720"/>
        <w:outlineLvl w:val="0"/>
        <w:rPr>
          <w:iCs/>
        </w:rPr>
      </w:pPr>
    </w:p>
    <w:p w14:paraId="18982E60" w14:textId="77777777" w:rsidR="00E0103A" w:rsidRDefault="00E0103A" w:rsidP="00E0103A">
      <w:pPr>
        <w:spacing w:line="480" w:lineRule="auto"/>
        <w:outlineLvl w:val="0"/>
        <w:rPr>
          <w:iCs/>
        </w:rPr>
      </w:pPr>
      <w:r>
        <w:rPr>
          <w:iCs/>
        </w:rPr>
        <w:br w:type="page"/>
      </w:r>
    </w:p>
    <w:p w14:paraId="7CE33BE8" w14:textId="40F1D57F" w:rsidR="003A7417" w:rsidRDefault="00E0103A" w:rsidP="00E0103A">
      <w:pPr>
        <w:spacing w:line="480" w:lineRule="auto"/>
        <w:outlineLvl w:val="0"/>
        <w:rPr>
          <w:iCs/>
        </w:rPr>
      </w:pPr>
      <w:r>
        <w:rPr>
          <w:noProof/>
          <w:lang w:eastAsia="en-US" w:bidi="he-IL"/>
        </w:rPr>
        <w:lastRenderedPageBreak/>
        <w:drawing>
          <wp:inline distT="0" distB="0" distL="0" distR="0" wp14:anchorId="35B29CBF" wp14:editId="0A572153">
            <wp:extent cx="5246794" cy="3809154"/>
            <wp:effectExtent l="0" t="0" r="1143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3AE0D57" w14:textId="2A4597BB" w:rsidR="00E0103A" w:rsidRDefault="00E0103A" w:rsidP="00E0103A">
      <w:pPr>
        <w:spacing w:line="480" w:lineRule="auto"/>
        <w:outlineLvl w:val="0"/>
        <w:rPr>
          <w:rFonts w:eastAsia="Times New Roman"/>
          <w:color w:val="000000" w:themeColor="text1"/>
        </w:rPr>
      </w:pPr>
      <w:r>
        <w:rPr>
          <w:rFonts w:eastAsia="Times New Roman"/>
          <w:i/>
          <w:color w:val="000000" w:themeColor="text1"/>
        </w:rPr>
        <w:t xml:space="preserve">Figure 1. </w:t>
      </w:r>
      <w:r>
        <w:rPr>
          <w:rFonts w:eastAsia="Times New Roman"/>
          <w:color w:val="000000" w:themeColor="text1"/>
        </w:rPr>
        <w:t>The actor’s daily use of Active Repair interacts with the partner’s daily use of Active Repair to predict relationship satisfaction.</w:t>
      </w:r>
    </w:p>
    <w:p w14:paraId="2137C60F" w14:textId="268DB2B9" w:rsidR="00E0103A" w:rsidRDefault="00E0103A" w:rsidP="00E0103A">
      <w:pPr>
        <w:spacing w:line="480" w:lineRule="auto"/>
        <w:outlineLvl w:val="0"/>
        <w:rPr>
          <w:rFonts w:eastAsia="Times New Roman"/>
          <w:color w:val="000000" w:themeColor="text1"/>
        </w:rPr>
      </w:pPr>
      <w:r>
        <w:rPr>
          <w:rFonts w:eastAsia="Times New Roman"/>
          <w:color w:val="000000" w:themeColor="text1"/>
        </w:rPr>
        <w:br w:type="page"/>
      </w:r>
    </w:p>
    <w:p w14:paraId="250E3867" w14:textId="0CB6F2AB" w:rsidR="00E0103A" w:rsidRDefault="004C2AED" w:rsidP="00E0103A">
      <w:pPr>
        <w:spacing w:line="480" w:lineRule="auto"/>
        <w:outlineLvl w:val="0"/>
        <w:rPr>
          <w:rFonts w:eastAsia="Times New Roman"/>
          <w:color w:val="000000" w:themeColor="text1"/>
        </w:rPr>
      </w:pPr>
      <w:r>
        <w:rPr>
          <w:noProof/>
          <w:lang w:eastAsia="en-US" w:bidi="he-IL"/>
        </w:rPr>
        <w:lastRenderedPageBreak/>
        <w:drawing>
          <wp:inline distT="0" distB="0" distL="0" distR="0" wp14:anchorId="61884D54" wp14:editId="6730BC0A">
            <wp:extent cx="5246794" cy="3809154"/>
            <wp:effectExtent l="0" t="0" r="11430" b="127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5D7FC39" w14:textId="5308957E" w:rsidR="004C2AED" w:rsidRDefault="004C2AED" w:rsidP="004C2AED">
      <w:pPr>
        <w:spacing w:line="480" w:lineRule="auto"/>
        <w:outlineLvl w:val="0"/>
        <w:rPr>
          <w:rFonts w:eastAsia="Times New Roman"/>
          <w:color w:val="000000" w:themeColor="text1"/>
        </w:rPr>
      </w:pPr>
      <w:r>
        <w:rPr>
          <w:rFonts w:eastAsia="Times New Roman"/>
          <w:i/>
          <w:color w:val="000000" w:themeColor="text1"/>
        </w:rPr>
        <w:t xml:space="preserve">Figure 2. </w:t>
      </w:r>
      <w:r>
        <w:rPr>
          <w:rFonts w:eastAsia="Times New Roman"/>
          <w:color w:val="000000" w:themeColor="text1"/>
        </w:rPr>
        <w:t>The actor’s daily use of Avoidance interacts with the partner’s daily use of Avoidance to predict depressive symptoms.</w:t>
      </w:r>
    </w:p>
    <w:p w14:paraId="28AE463E" w14:textId="30E58FA5" w:rsidR="00086A59" w:rsidRDefault="00086A59" w:rsidP="00E152A7">
      <w:pPr>
        <w:spacing w:line="480" w:lineRule="auto"/>
        <w:outlineLvl w:val="0"/>
        <w:rPr>
          <w:rFonts w:eastAsia="Times New Roman"/>
          <w:color w:val="000000" w:themeColor="text1"/>
        </w:rPr>
      </w:pPr>
    </w:p>
    <w:p w14:paraId="597A5875" w14:textId="77777777" w:rsidR="00EF6678" w:rsidRDefault="00EF6678" w:rsidP="00E152A7">
      <w:pPr>
        <w:spacing w:line="480" w:lineRule="auto"/>
        <w:outlineLvl w:val="0"/>
        <w:rPr>
          <w:rFonts w:eastAsia="Times New Roman"/>
          <w:color w:val="000000" w:themeColor="text1"/>
        </w:rPr>
      </w:pPr>
    </w:p>
    <w:p w14:paraId="45A0540D" w14:textId="77777777" w:rsidR="00EF6678" w:rsidRPr="00086A59" w:rsidRDefault="00EF6678" w:rsidP="00E152A7">
      <w:pPr>
        <w:spacing w:line="480" w:lineRule="auto"/>
        <w:outlineLvl w:val="0"/>
        <w:rPr>
          <w:rFonts w:eastAsia="Times New Roman"/>
          <w:color w:val="000000" w:themeColor="text1"/>
        </w:rPr>
      </w:pPr>
    </w:p>
    <w:sectPr w:rsidR="00EF6678" w:rsidRPr="00086A59" w:rsidSect="00591A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113C67"/>
    <w:multiLevelType w:val="hybridMultilevel"/>
    <w:tmpl w:val="236A23F6"/>
    <w:lvl w:ilvl="0" w:tplc="BCA48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D0F5BBC"/>
    <w:multiLevelType w:val="hybridMultilevel"/>
    <w:tmpl w:val="EDAEA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FC75B3"/>
    <w:multiLevelType w:val="hybridMultilevel"/>
    <w:tmpl w:val="328C7692"/>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CAD"/>
    <w:rsid w:val="00006440"/>
    <w:rsid w:val="0002669A"/>
    <w:rsid w:val="00040263"/>
    <w:rsid w:val="00042EB1"/>
    <w:rsid w:val="00086A59"/>
    <w:rsid w:val="00097985"/>
    <w:rsid w:val="000C1DCF"/>
    <w:rsid w:val="000D14C6"/>
    <w:rsid w:val="000F0723"/>
    <w:rsid w:val="001153CE"/>
    <w:rsid w:val="00135022"/>
    <w:rsid w:val="00143535"/>
    <w:rsid w:val="00161B3C"/>
    <w:rsid w:val="00164C60"/>
    <w:rsid w:val="00172F60"/>
    <w:rsid w:val="001838F8"/>
    <w:rsid w:val="001A6241"/>
    <w:rsid w:val="002207B4"/>
    <w:rsid w:val="00232A41"/>
    <w:rsid w:val="00235035"/>
    <w:rsid w:val="002414AC"/>
    <w:rsid w:val="00275117"/>
    <w:rsid w:val="002C391A"/>
    <w:rsid w:val="002C6F67"/>
    <w:rsid w:val="002C709F"/>
    <w:rsid w:val="002E6B69"/>
    <w:rsid w:val="00301614"/>
    <w:rsid w:val="00301EC3"/>
    <w:rsid w:val="00324823"/>
    <w:rsid w:val="00356097"/>
    <w:rsid w:val="003744A4"/>
    <w:rsid w:val="00393EC2"/>
    <w:rsid w:val="003A7417"/>
    <w:rsid w:val="003B5939"/>
    <w:rsid w:val="003B7454"/>
    <w:rsid w:val="003E23F4"/>
    <w:rsid w:val="003E6934"/>
    <w:rsid w:val="003E7483"/>
    <w:rsid w:val="00407AEE"/>
    <w:rsid w:val="004208E6"/>
    <w:rsid w:val="00443197"/>
    <w:rsid w:val="00472366"/>
    <w:rsid w:val="004A3534"/>
    <w:rsid w:val="004C2AED"/>
    <w:rsid w:val="004D07C4"/>
    <w:rsid w:val="004F36D9"/>
    <w:rsid w:val="00505762"/>
    <w:rsid w:val="00515F33"/>
    <w:rsid w:val="0051696F"/>
    <w:rsid w:val="0056535A"/>
    <w:rsid w:val="00572609"/>
    <w:rsid w:val="00573330"/>
    <w:rsid w:val="00575DAF"/>
    <w:rsid w:val="005813C6"/>
    <w:rsid w:val="00591A55"/>
    <w:rsid w:val="00594B12"/>
    <w:rsid w:val="005A073D"/>
    <w:rsid w:val="005C0150"/>
    <w:rsid w:val="005C09A2"/>
    <w:rsid w:val="005D061F"/>
    <w:rsid w:val="005D26AD"/>
    <w:rsid w:val="005D3FAA"/>
    <w:rsid w:val="005D6A36"/>
    <w:rsid w:val="005E32D8"/>
    <w:rsid w:val="005F393C"/>
    <w:rsid w:val="005F3D46"/>
    <w:rsid w:val="006446FE"/>
    <w:rsid w:val="006523FF"/>
    <w:rsid w:val="00656DFE"/>
    <w:rsid w:val="00665E6C"/>
    <w:rsid w:val="006C1D37"/>
    <w:rsid w:val="006D51EF"/>
    <w:rsid w:val="006F264C"/>
    <w:rsid w:val="006F604A"/>
    <w:rsid w:val="007056E6"/>
    <w:rsid w:val="00740279"/>
    <w:rsid w:val="007608BD"/>
    <w:rsid w:val="007610DE"/>
    <w:rsid w:val="00785F52"/>
    <w:rsid w:val="00797962"/>
    <w:rsid w:val="007B2089"/>
    <w:rsid w:val="007D2F9D"/>
    <w:rsid w:val="007F5B19"/>
    <w:rsid w:val="007F64F3"/>
    <w:rsid w:val="0081040E"/>
    <w:rsid w:val="0081328F"/>
    <w:rsid w:val="0086771F"/>
    <w:rsid w:val="00867CAD"/>
    <w:rsid w:val="008971AD"/>
    <w:rsid w:val="008A3F93"/>
    <w:rsid w:val="008A6E53"/>
    <w:rsid w:val="008B6314"/>
    <w:rsid w:val="008D6FA8"/>
    <w:rsid w:val="008E04FE"/>
    <w:rsid w:val="008F1C5C"/>
    <w:rsid w:val="008F6133"/>
    <w:rsid w:val="008F7410"/>
    <w:rsid w:val="009058B5"/>
    <w:rsid w:val="0091636D"/>
    <w:rsid w:val="009872D7"/>
    <w:rsid w:val="009A583B"/>
    <w:rsid w:val="009A6480"/>
    <w:rsid w:val="009B1CFF"/>
    <w:rsid w:val="009B23EA"/>
    <w:rsid w:val="009B3378"/>
    <w:rsid w:val="009B670B"/>
    <w:rsid w:val="009B6987"/>
    <w:rsid w:val="009B74A6"/>
    <w:rsid w:val="009B7B74"/>
    <w:rsid w:val="009C01EF"/>
    <w:rsid w:val="009F200B"/>
    <w:rsid w:val="00A3719B"/>
    <w:rsid w:val="00A67ADD"/>
    <w:rsid w:val="00A800CA"/>
    <w:rsid w:val="00A860C6"/>
    <w:rsid w:val="00A87B74"/>
    <w:rsid w:val="00A904B0"/>
    <w:rsid w:val="00A96C0B"/>
    <w:rsid w:val="00AB70FE"/>
    <w:rsid w:val="00AC5F90"/>
    <w:rsid w:val="00AD2427"/>
    <w:rsid w:val="00AE4AE2"/>
    <w:rsid w:val="00AF00C8"/>
    <w:rsid w:val="00AF5874"/>
    <w:rsid w:val="00AF6138"/>
    <w:rsid w:val="00B31B32"/>
    <w:rsid w:val="00B36986"/>
    <w:rsid w:val="00B62076"/>
    <w:rsid w:val="00B77ACD"/>
    <w:rsid w:val="00B9438F"/>
    <w:rsid w:val="00B9524D"/>
    <w:rsid w:val="00B95AF7"/>
    <w:rsid w:val="00BB45BF"/>
    <w:rsid w:val="00BC01C6"/>
    <w:rsid w:val="00BC29A7"/>
    <w:rsid w:val="00BD0977"/>
    <w:rsid w:val="00BE399D"/>
    <w:rsid w:val="00C0267C"/>
    <w:rsid w:val="00C03EC9"/>
    <w:rsid w:val="00C044DB"/>
    <w:rsid w:val="00C1029B"/>
    <w:rsid w:val="00C23004"/>
    <w:rsid w:val="00C31BEE"/>
    <w:rsid w:val="00C45ED5"/>
    <w:rsid w:val="00C6093B"/>
    <w:rsid w:val="00C9742D"/>
    <w:rsid w:val="00CA135E"/>
    <w:rsid w:val="00CA448B"/>
    <w:rsid w:val="00CA4AE1"/>
    <w:rsid w:val="00CA52A9"/>
    <w:rsid w:val="00CB69DE"/>
    <w:rsid w:val="00CC39E0"/>
    <w:rsid w:val="00CD2A60"/>
    <w:rsid w:val="00CE66B5"/>
    <w:rsid w:val="00CF26BB"/>
    <w:rsid w:val="00D12A5C"/>
    <w:rsid w:val="00D15DAC"/>
    <w:rsid w:val="00D51630"/>
    <w:rsid w:val="00D60FD2"/>
    <w:rsid w:val="00D638C5"/>
    <w:rsid w:val="00D93482"/>
    <w:rsid w:val="00DA4E92"/>
    <w:rsid w:val="00DA69B5"/>
    <w:rsid w:val="00DB1F1B"/>
    <w:rsid w:val="00DB6325"/>
    <w:rsid w:val="00DC64EE"/>
    <w:rsid w:val="00DC67A4"/>
    <w:rsid w:val="00DE2E2F"/>
    <w:rsid w:val="00E0103A"/>
    <w:rsid w:val="00E152A7"/>
    <w:rsid w:val="00E416BE"/>
    <w:rsid w:val="00E76B25"/>
    <w:rsid w:val="00E8261B"/>
    <w:rsid w:val="00E95D52"/>
    <w:rsid w:val="00EB397A"/>
    <w:rsid w:val="00EB3B75"/>
    <w:rsid w:val="00EB4B54"/>
    <w:rsid w:val="00EC53AF"/>
    <w:rsid w:val="00ED23BA"/>
    <w:rsid w:val="00ED3D1A"/>
    <w:rsid w:val="00EF1808"/>
    <w:rsid w:val="00EF6678"/>
    <w:rsid w:val="00F11BB4"/>
    <w:rsid w:val="00F276FB"/>
    <w:rsid w:val="00F32D71"/>
    <w:rsid w:val="00F376ED"/>
    <w:rsid w:val="00F50E22"/>
    <w:rsid w:val="00F62EC4"/>
    <w:rsid w:val="00F661FC"/>
    <w:rsid w:val="00F66822"/>
    <w:rsid w:val="00F72578"/>
    <w:rsid w:val="00F8030F"/>
    <w:rsid w:val="00F9760F"/>
    <w:rsid w:val="00FC629A"/>
    <w:rsid w:val="00FE66AE"/>
    <w:rsid w:val="00FE7C4D"/>
    <w:rsid w:val="00FF3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D256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7CAD"/>
    <w:pPr>
      <w:ind w:left="720"/>
      <w:contextualSpacing/>
    </w:pPr>
  </w:style>
  <w:style w:type="character" w:styleId="CommentReference">
    <w:name w:val="annotation reference"/>
    <w:basedOn w:val="DefaultParagraphFont"/>
    <w:uiPriority w:val="99"/>
    <w:semiHidden/>
    <w:unhideWhenUsed/>
    <w:rsid w:val="0051696F"/>
    <w:rPr>
      <w:sz w:val="18"/>
      <w:szCs w:val="18"/>
    </w:rPr>
  </w:style>
  <w:style w:type="paragraph" w:styleId="CommentText">
    <w:name w:val="annotation text"/>
    <w:basedOn w:val="Normal"/>
    <w:link w:val="CommentTextChar"/>
    <w:uiPriority w:val="99"/>
    <w:semiHidden/>
    <w:unhideWhenUsed/>
    <w:rsid w:val="0051696F"/>
  </w:style>
  <w:style w:type="character" w:customStyle="1" w:styleId="CommentTextChar">
    <w:name w:val="Comment Text Char"/>
    <w:basedOn w:val="DefaultParagraphFont"/>
    <w:link w:val="CommentText"/>
    <w:uiPriority w:val="99"/>
    <w:semiHidden/>
    <w:rsid w:val="0051696F"/>
    <w:rPr>
      <w:rFonts w:eastAsiaTheme="minorEastAsia"/>
      <w:lang w:eastAsia="ja-JP"/>
    </w:rPr>
  </w:style>
  <w:style w:type="paragraph" w:styleId="CommentSubject">
    <w:name w:val="annotation subject"/>
    <w:basedOn w:val="CommentText"/>
    <w:next w:val="CommentText"/>
    <w:link w:val="CommentSubjectChar"/>
    <w:uiPriority w:val="99"/>
    <w:semiHidden/>
    <w:unhideWhenUsed/>
    <w:rsid w:val="0051696F"/>
    <w:rPr>
      <w:b/>
      <w:bCs/>
      <w:sz w:val="20"/>
      <w:szCs w:val="20"/>
    </w:rPr>
  </w:style>
  <w:style w:type="character" w:customStyle="1" w:styleId="CommentSubjectChar">
    <w:name w:val="Comment Subject Char"/>
    <w:basedOn w:val="CommentTextChar"/>
    <w:link w:val="CommentSubject"/>
    <w:uiPriority w:val="99"/>
    <w:semiHidden/>
    <w:rsid w:val="0051696F"/>
    <w:rPr>
      <w:rFonts w:eastAsiaTheme="minorEastAsia"/>
      <w:b/>
      <w:bCs/>
      <w:sz w:val="20"/>
      <w:szCs w:val="20"/>
      <w:lang w:eastAsia="ja-JP"/>
    </w:rPr>
  </w:style>
  <w:style w:type="paragraph" w:styleId="BalloonText">
    <w:name w:val="Balloon Text"/>
    <w:basedOn w:val="Normal"/>
    <w:link w:val="BalloonTextChar"/>
    <w:uiPriority w:val="99"/>
    <w:semiHidden/>
    <w:unhideWhenUsed/>
    <w:rsid w:val="0051696F"/>
    <w:rPr>
      <w:sz w:val="18"/>
      <w:szCs w:val="18"/>
    </w:rPr>
  </w:style>
  <w:style w:type="character" w:customStyle="1" w:styleId="BalloonTextChar">
    <w:name w:val="Balloon Text Char"/>
    <w:basedOn w:val="DefaultParagraphFont"/>
    <w:link w:val="BalloonText"/>
    <w:uiPriority w:val="99"/>
    <w:semiHidden/>
    <w:rsid w:val="0051696F"/>
    <w:rPr>
      <w:rFonts w:eastAsiaTheme="minorEastAsia"/>
      <w:sz w:val="18"/>
      <w:szCs w:val="18"/>
      <w:lang w:eastAsia="ja-JP"/>
    </w:rPr>
  </w:style>
  <w:style w:type="table" w:styleId="TableGrid">
    <w:name w:val="Table Grid"/>
    <w:basedOn w:val="TableNormal"/>
    <w:uiPriority w:val="39"/>
    <w:rsid w:val="007D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Users\Julie\*GRAD%20SCHOOL*\Dropbox\Paper%205%20-%20Conflict%20reconciliation%20coding\3.%202013%20Second%20Diary%20Study\Data%20Analyses\Partner%20Interactions\aActive%20Repair%20x%20pActive%20Repair%20Predict%20Sa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s\Julie\*GRAD%20SCHOOL*\Dropbox\Paper%205%20-%20Conflict%20reconciliation%20coding\3.%202013%20Second%20Diary%20Study\Data%20Analyses\Partner%20Interactions\aAvoid%20x%20pAvoid%20Predict%20De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Partner Did Not Use Active Repair</c:v>
                </c:pt>
              </c:strCache>
            </c:strRef>
          </c:tx>
          <c:spPr>
            <a:solidFill>
              <a:schemeClr val="tx1"/>
            </a:solidFill>
            <a:ln>
              <a:solidFill>
                <a:schemeClr val="bg1">
                  <a:lumMod val="65000"/>
                </a:schemeClr>
              </a:solidFill>
              <a:prstDash val="sysDash"/>
            </a:ln>
          </c:spPr>
          <c:invertIfNegative val="0"/>
          <c:cat>
            <c:numRef>
              <c:f>Sheet1!$E$14:$E$15</c:f>
              <c:numCache>
                <c:formatCode>General</c:formatCode>
                <c:ptCount val="2"/>
                <c:pt idx="0">
                  <c:v>0</c:v>
                </c:pt>
                <c:pt idx="1">
                  <c:v>1</c:v>
                </c:pt>
              </c:numCache>
            </c:numRef>
          </c:cat>
          <c:val>
            <c:numRef>
              <c:f>Sheet1!$F$14:$F$15</c:f>
              <c:numCache>
                <c:formatCode>General</c:formatCode>
                <c:ptCount val="2"/>
                <c:pt idx="0">
                  <c:v>15.5</c:v>
                </c:pt>
                <c:pt idx="1">
                  <c:v>21</c:v>
                </c:pt>
              </c:numCache>
            </c:numRef>
          </c:val>
          <c:extLst xmlns:c16r2="http://schemas.microsoft.com/office/drawing/2015/06/chart">
            <c:ext xmlns:c16="http://schemas.microsoft.com/office/drawing/2014/chart" uri="{C3380CC4-5D6E-409C-BE32-E72D297353CC}">
              <c16:uniqueId val="{00000000-D4BB-49D3-A024-4B9268D41256}"/>
            </c:ext>
          </c:extLst>
        </c:ser>
        <c:ser>
          <c:idx val="1"/>
          <c:order val="1"/>
          <c:tx>
            <c:strRef>
              <c:f>Sheet1!$G$13</c:f>
              <c:strCache>
                <c:ptCount val="1"/>
                <c:pt idx="0">
                  <c:v>Partner Used Active Repair</c:v>
                </c:pt>
              </c:strCache>
            </c:strRef>
          </c:tx>
          <c:spPr>
            <a:pattFill prst="pct50">
              <a:fgClr>
                <a:schemeClr val="tx1"/>
              </a:fgClr>
              <a:bgClr>
                <a:schemeClr val="bg1"/>
              </a:bgClr>
            </a:pattFill>
            <a:ln>
              <a:solidFill>
                <a:schemeClr val="tx1"/>
              </a:solidFill>
              <a:prstDash val="solid"/>
            </a:ln>
          </c:spPr>
          <c:invertIfNegative val="0"/>
          <c:cat>
            <c:numRef>
              <c:f>Sheet1!$E$14:$E$15</c:f>
              <c:numCache>
                <c:formatCode>General</c:formatCode>
                <c:ptCount val="2"/>
                <c:pt idx="0">
                  <c:v>0</c:v>
                </c:pt>
                <c:pt idx="1">
                  <c:v>1</c:v>
                </c:pt>
              </c:numCache>
            </c:numRef>
          </c:cat>
          <c:val>
            <c:numRef>
              <c:f>Sheet1!$G$14:$G$15</c:f>
              <c:numCache>
                <c:formatCode>General</c:formatCode>
                <c:ptCount val="2"/>
                <c:pt idx="0">
                  <c:v>20</c:v>
                </c:pt>
                <c:pt idx="1">
                  <c:v>21</c:v>
                </c:pt>
              </c:numCache>
            </c:numRef>
          </c:val>
          <c:extLst xmlns:c16r2="http://schemas.microsoft.com/office/drawing/2015/06/chart">
            <c:ext xmlns:c16="http://schemas.microsoft.com/office/drawing/2014/chart" uri="{C3380CC4-5D6E-409C-BE32-E72D297353CC}">
              <c16:uniqueId val="{00000001-D4BB-49D3-A024-4B9268D41256}"/>
            </c:ext>
          </c:extLst>
        </c:ser>
        <c:dLbls>
          <c:showLegendKey val="0"/>
          <c:showVal val="0"/>
          <c:showCatName val="0"/>
          <c:showSerName val="0"/>
          <c:showPercent val="0"/>
          <c:showBubbleSize val="0"/>
        </c:dLbls>
        <c:gapWidth val="150"/>
        <c:axId val="630406792"/>
        <c:axId val="630406008"/>
      </c:barChart>
      <c:catAx>
        <c:axId val="630406792"/>
        <c:scaling>
          <c:orientation val="minMax"/>
        </c:scaling>
        <c:delete val="0"/>
        <c:axPos val="b"/>
        <c:title>
          <c:tx>
            <c:rich>
              <a:bodyPr/>
              <a:lstStyle/>
              <a:p>
                <a:pPr>
                  <a:defRPr/>
                </a:pPr>
                <a:r>
                  <a:rPr lang="en-US" sz="1100"/>
                  <a:t>Actor's Daily Use</a:t>
                </a:r>
                <a:r>
                  <a:rPr lang="en-US" sz="1100" baseline="0"/>
                  <a:t> of Active Repair</a:t>
                </a:r>
              </a:p>
            </c:rich>
          </c:tx>
          <c:layout>
            <c:manualLayout>
              <c:xMode val="edge"/>
              <c:yMode val="edge"/>
              <c:x val="0.21349265856444899"/>
              <c:y val="0.92384831401410905"/>
            </c:manualLayout>
          </c:layout>
          <c:overlay val="0"/>
        </c:title>
        <c:numFmt formatCode="General" sourceLinked="1"/>
        <c:majorTickMark val="out"/>
        <c:minorTickMark val="none"/>
        <c:tickLblPos val="nextTo"/>
        <c:crossAx val="630406008"/>
        <c:crossesAt val="0"/>
        <c:auto val="1"/>
        <c:lblAlgn val="ctr"/>
        <c:lblOffset val="100"/>
        <c:noMultiLvlLbl val="1"/>
      </c:catAx>
      <c:valAx>
        <c:axId val="630406008"/>
        <c:scaling>
          <c:orientation val="minMax"/>
        </c:scaling>
        <c:delete val="0"/>
        <c:axPos val="l"/>
        <c:majorGridlines/>
        <c:title>
          <c:tx>
            <c:rich>
              <a:bodyPr rot="-5400000" vert="horz"/>
              <a:lstStyle/>
              <a:p>
                <a:pPr>
                  <a:defRPr/>
                </a:pPr>
                <a:r>
                  <a:rPr lang="en-US"/>
                  <a:t>Actor's Daily Relationship Satisfaction</a:t>
                </a:r>
              </a:p>
            </c:rich>
          </c:tx>
          <c:overlay val="0"/>
        </c:title>
        <c:numFmt formatCode="General" sourceLinked="1"/>
        <c:majorTickMark val="out"/>
        <c:minorTickMark val="none"/>
        <c:tickLblPos val="nextTo"/>
        <c:crossAx val="630406792"/>
        <c:crosses val="autoZero"/>
        <c:crossBetween val="between"/>
      </c:valAx>
    </c:plotArea>
    <c:legend>
      <c:legendPos val="r"/>
      <c:layout>
        <c:manualLayout>
          <c:xMode val="edge"/>
          <c:yMode val="edge"/>
          <c:x val="0.65088852354409199"/>
          <c:y val="0.34753665791776001"/>
          <c:w val="0.34911147645590801"/>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Sheet1!$F$13</c:f>
              <c:strCache>
                <c:ptCount val="1"/>
                <c:pt idx="0">
                  <c:v>Partner Did Not Engage in Avoidance</c:v>
                </c:pt>
              </c:strCache>
            </c:strRef>
          </c:tx>
          <c:spPr>
            <a:solidFill>
              <a:schemeClr val="tx1"/>
            </a:solidFill>
            <a:ln>
              <a:solidFill>
                <a:schemeClr val="bg1">
                  <a:lumMod val="65000"/>
                </a:schemeClr>
              </a:solidFill>
              <a:prstDash val="sysDash"/>
            </a:ln>
          </c:spPr>
          <c:invertIfNegative val="0"/>
          <c:cat>
            <c:numRef>
              <c:f>Sheet1!$E$14:$E$15</c:f>
              <c:numCache>
                <c:formatCode>General</c:formatCode>
                <c:ptCount val="2"/>
                <c:pt idx="0">
                  <c:v>0</c:v>
                </c:pt>
                <c:pt idx="1">
                  <c:v>1</c:v>
                </c:pt>
              </c:numCache>
            </c:numRef>
          </c:cat>
          <c:val>
            <c:numRef>
              <c:f>Sheet1!$F$14:$F$15</c:f>
              <c:numCache>
                <c:formatCode>General</c:formatCode>
                <c:ptCount val="2"/>
                <c:pt idx="0">
                  <c:v>6.2</c:v>
                </c:pt>
                <c:pt idx="1">
                  <c:v>8.4</c:v>
                </c:pt>
              </c:numCache>
            </c:numRef>
          </c:val>
          <c:extLst xmlns:c16r2="http://schemas.microsoft.com/office/drawing/2015/06/chart">
            <c:ext xmlns:c16="http://schemas.microsoft.com/office/drawing/2014/chart" uri="{C3380CC4-5D6E-409C-BE32-E72D297353CC}">
              <c16:uniqueId val="{00000000-1213-44C8-B3D9-4B7EC09E983A}"/>
            </c:ext>
          </c:extLst>
        </c:ser>
        <c:ser>
          <c:idx val="1"/>
          <c:order val="1"/>
          <c:tx>
            <c:strRef>
              <c:f>Sheet1!$G$13</c:f>
              <c:strCache>
                <c:ptCount val="1"/>
                <c:pt idx="0">
                  <c:v>Partner Engaged in Avoidance</c:v>
                </c:pt>
              </c:strCache>
            </c:strRef>
          </c:tx>
          <c:spPr>
            <a:pattFill prst="pct50">
              <a:fgClr>
                <a:schemeClr val="tx1"/>
              </a:fgClr>
              <a:bgClr>
                <a:schemeClr val="bg1"/>
              </a:bgClr>
            </a:pattFill>
            <a:ln>
              <a:solidFill>
                <a:schemeClr val="tx1"/>
              </a:solidFill>
              <a:prstDash val="solid"/>
            </a:ln>
          </c:spPr>
          <c:invertIfNegative val="0"/>
          <c:cat>
            <c:numRef>
              <c:f>Sheet1!$E$14:$E$15</c:f>
              <c:numCache>
                <c:formatCode>General</c:formatCode>
                <c:ptCount val="2"/>
                <c:pt idx="0">
                  <c:v>0</c:v>
                </c:pt>
                <c:pt idx="1">
                  <c:v>1</c:v>
                </c:pt>
              </c:numCache>
            </c:numRef>
          </c:cat>
          <c:val>
            <c:numRef>
              <c:f>Sheet1!$G$14:$G$15</c:f>
              <c:numCache>
                <c:formatCode>General</c:formatCode>
                <c:ptCount val="2"/>
                <c:pt idx="0">
                  <c:v>6.2</c:v>
                </c:pt>
                <c:pt idx="1">
                  <c:v>10.1</c:v>
                </c:pt>
              </c:numCache>
            </c:numRef>
          </c:val>
          <c:extLst xmlns:c16r2="http://schemas.microsoft.com/office/drawing/2015/06/chart">
            <c:ext xmlns:c16="http://schemas.microsoft.com/office/drawing/2014/chart" uri="{C3380CC4-5D6E-409C-BE32-E72D297353CC}">
              <c16:uniqueId val="{00000001-1213-44C8-B3D9-4B7EC09E983A}"/>
            </c:ext>
          </c:extLst>
        </c:ser>
        <c:dLbls>
          <c:showLegendKey val="0"/>
          <c:showVal val="0"/>
          <c:showCatName val="0"/>
          <c:showSerName val="0"/>
          <c:showPercent val="0"/>
          <c:showBubbleSize val="0"/>
        </c:dLbls>
        <c:gapWidth val="150"/>
        <c:axId val="315780784"/>
        <c:axId val="315781176"/>
      </c:barChart>
      <c:catAx>
        <c:axId val="315780784"/>
        <c:scaling>
          <c:orientation val="minMax"/>
        </c:scaling>
        <c:delete val="0"/>
        <c:axPos val="b"/>
        <c:title>
          <c:tx>
            <c:rich>
              <a:bodyPr/>
              <a:lstStyle/>
              <a:p>
                <a:pPr>
                  <a:defRPr/>
                </a:pPr>
                <a:r>
                  <a:rPr lang="en-US" sz="1100"/>
                  <a:t>Actor's</a:t>
                </a:r>
                <a:r>
                  <a:rPr lang="en-US" sz="1100" baseline="0"/>
                  <a:t> Daily Use of </a:t>
                </a:r>
                <a:r>
                  <a:rPr lang="en-US" sz="1100"/>
                  <a:t>Avoidance</a:t>
                </a:r>
                <a:endParaRPr lang="en-US" sz="1100" baseline="0"/>
              </a:p>
            </c:rich>
          </c:tx>
          <c:layout>
            <c:manualLayout>
              <c:xMode val="edge"/>
              <c:yMode val="edge"/>
              <c:x val="0.21349265856444899"/>
              <c:y val="0.92384831401410905"/>
            </c:manualLayout>
          </c:layout>
          <c:overlay val="0"/>
        </c:title>
        <c:numFmt formatCode="General" sourceLinked="1"/>
        <c:majorTickMark val="out"/>
        <c:minorTickMark val="none"/>
        <c:tickLblPos val="nextTo"/>
        <c:crossAx val="315781176"/>
        <c:crossesAt val="0"/>
        <c:auto val="1"/>
        <c:lblAlgn val="ctr"/>
        <c:lblOffset val="100"/>
        <c:noMultiLvlLbl val="1"/>
      </c:catAx>
      <c:valAx>
        <c:axId val="315781176"/>
        <c:scaling>
          <c:orientation val="minMax"/>
        </c:scaling>
        <c:delete val="0"/>
        <c:axPos val="l"/>
        <c:majorGridlines/>
        <c:title>
          <c:tx>
            <c:rich>
              <a:bodyPr rot="-5400000" vert="horz"/>
              <a:lstStyle/>
              <a:p>
                <a:pPr>
                  <a:defRPr/>
                </a:pPr>
                <a:r>
                  <a:rPr lang="en-US"/>
                  <a:t>Actor's Daily Depressive Symptoms</a:t>
                </a:r>
              </a:p>
            </c:rich>
          </c:tx>
          <c:overlay val="0"/>
        </c:title>
        <c:numFmt formatCode="General" sourceLinked="1"/>
        <c:majorTickMark val="out"/>
        <c:minorTickMark val="none"/>
        <c:tickLblPos val="nextTo"/>
        <c:crossAx val="315780784"/>
        <c:crosses val="autoZero"/>
        <c:crossBetween val="between"/>
      </c:valAx>
    </c:plotArea>
    <c:legend>
      <c:legendPos val="r"/>
      <c:layout>
        <c:manualLayout>
          <c:xMode val="edge"/>
          <c:yMode val="edge"/>
          <c:x val="0.65088852354409199"/>
          <c:y val="0.34753665791776001"/>
          <c:w val="0.34911147645590801"/>
          <c:h val="0.21442819061660401"/>
        </c:manualLayout>
      </c:layout>
      <c:overlay val="0"/>
    </c:legend>
    <c:plotVisOnly val="1"/>
    <c:dispBlanksAs val="gap"/>
    <c:showDLblsOverMax val="0"/>
  </c:chart>
  <c:txPr>
    <a:bodyPr/>
    <a:lstStyle/>
    <a:p>
      <a:pPr>
        <a:defRPr sz="1200">
          <a:latin typeface="Times New Roman"/>
          <a:cs typeface="Times New Roman"/>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Parsons</dc:creator>
  <cp:keywords/>
  <dc:description/>
  <cp:lastModifiedBy>Karen Prager</cp:lastModifiedBy>
  <cp:revision>8</cp:revision>
  <cp:lastPrinted>2019-01-23T13:35:00Z</cp:lastPrinted>
  <dcterms:created xsi:type="dcterms:W3CDTF">2019-01-23T13:35:00Z</dcterms:created>
  <dcterms:modified xsi:type="dcterms:W3CDTF">2019-06-10T03:58:00Z</dcterms:modified>
</cp:coreProperties>
</file>